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  <w:t>附件2：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文化与传播学院专业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班主任聘期考核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  <w:r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eastAsia="zh-CN"/>
        </w:rPr>
        <w:t>（专业班主任用）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04"/>
        <w:gridCol w:w="1161"/>
        <w:gridCol w:w="1440"/>
        <w:gridCol w:w="1140"/>
        <w:gridCol w:w="215"/>
        <w:gridCol w:w="112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或教研室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担任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班主任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所任班主任专业、年级、班级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担任专业班主任一年来的主要工作业绩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（后附汇报PPT）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自评分</w:t>
            </w:r>
          </w:p>
        </w:tc>
        <w:tc>
          <w:tcPr>
            <w:tcW w:w="300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自评等级</w:t>
            </w:r>
          </w:p>
        </w:tc>
        <w:tc>
          <w:tcPr>
            <w:tcW w:w="31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总得分90及以上为优秀；85-89为良好；80-84为合格；80以下为不合格。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6940"/>
    <w:rsid w:val="2CF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2021-09-27T07:34:00Z</dcterms:created>
  <dc:creator>Administrator</dc:creator>
  <cp:lastModifiedBy>Administrator</cp:lastModifiedBy>
  <dcterms:modified xsi:type="dcterms:W3CDTF">2021-09-27T07:34:51Z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DAA23C1EC2244BC0B1F28722CE8F0D34</vt:lpwstr>
  </property>
</Properties>
</file>